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450" w:right="-270" w:firstLine="0"/>
        <w:contextualSpacing w:val="0"/>
        <w:jc w:val="center"/>
        <w:rPr>
          <w:rFonts w:ascii="Cambria" w:cs="Cambria" w:eastAsia="Cambria" w:hAnsi="Cambria"/>
          <w:b w:val="1"/>
          <w:i w:val="1"/>
          <w:u w:val="single"/>
        </w:rPr>
      </w:pPr>
      <w:r w:rsidDel="00000000" w:rsidR="00000000" w:rsidRPr="00000000">
        <w:rPr>
          <w:rFonts w:ascii="Cambria" w:cs="Cambria" w:eastAsia="Cambria" w:hAnsi="Cambria"/>
          <w:b w:val="1"/>
          <w:i w:val="1"/>
          <w:u w:val="single"/>
          <w:rtl w:val="0"/>
        </w:rPr>
        <w:t xml:space="preserve">6</w:t>
      </w:r>
      <w:r w:rsidDel="00000000" w:rsidR="00000000" w:rsidRPr="00000000">
        <w:rPr>
          <w:rFonts w:ascii="Cambria" w:cs="Cambria" w:eastAsia="Cambria" w:hAnsi="Cambria"/>
          <w:b w:val="1"/>
          <w:i w:val="1"/>
          <w:u w:val="single"/>
          <w:vertAlign w:val="superscript"/>
          <w:rtl w:val="0"/>
        </w:rPr>
        <w:t xml:space="preserve">th</w:t>
      </w:r>
      <w:r w:rsidDel="00000000" w:rsidR="00000000" w:rsidRPr="00000000">
        <w:rPr>
          <w:rFonts w:ascii="Cambria" w:cs="Cambria" w:eastAsia="Cambria" w:hAnsi="Cambria"/>
          <w:b w:val="1"/>
          <w:i w:val="1"/>
          <w:u w:val="single"/>
          <w:rtl w:val="0"/>
        </w:rPr>
        <w:t xml:space="preserve"> Grade School Supply List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450" w:right="-270" w:firstLine="0"/>
        <w:contextualSpacing w:val="0"/>
        <w:jc w:val="center"/>
        <w:rPr>
          <w:rFonts w:ascii="Cambria" w:cs="Cambria" w:eastAsia="Cambria" w:hAnsi="Cambria"/>
          <w:b w:val="1"/>
          <w:i w:val="1"/>
          <w:u w:val="single"/>
        </w:rPr>
      </w:pPr>
      <w:r w:rsidDel="00000000" w:rsidR="00000000" w:rsidRPr="00000000">
        <w:rPr>
          <w:rFonts w:ascii="Cambria" w:cs="Cambria" w:eastAsia="Cambria" w:hAnsi="Cambria"/>
          <w:b w:val="1"/>
          <w:i w:val="1"/>
          <w:u w:val="single"/>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450" w:right="-270" w:firstLine="0"/>
        <w:contextualSpacing w:val="0"/>
        <w:rPr>
          <w:rFonts w:ascii="Cambria" w:cs="Cambria" w:eastAsia="Cambria" w:hAnsi="Cambria"/>
        </w:rPr>
      </w:pPr>
      <w:r w:rsidDel="00000000" w:rsidR="00000000" w:rsidRPr="00000000">
        <w:rPr>
          <w:rFonts w:ascii="Cambria" w:cs="Cambria" w:eastAsia="Cambria" w:hAnsi="Cambria"/>
          <w:rtl w:val="0"/>
        </w:rPr>
        <w:t xml:space="preserve">Dear DSA 6</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-graders and their families: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450" w:right="-270" w:firstLine="0"/>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450" w:right="-270" w:firstLine="0"/>
        <w:contextualSpacing w:val="0"/>
        <w:rPr>
          <w:rFonts w:ascii="Cambria" w:cs="Cambria" w:eastAsia="Cambria" w:hAnsi="Cambria"/>
          <w:u w:val="single"/>
        </w:rPr>
      </w:pPr>
      <w:r w:rsidDel="00000000" w:rsidR="00000000" w:rsidRPr="00000000">
        <w:rPr>
          <w:rFonts w:ascii="Cambria" w:cs="Cambria" w:eastAsia="Cambria" w:hAnsi="Cambria"/>
          <w:rtl w:val="0"/>
        </w:rPr>
        <w:t xml:space="preserve">Welcome to DSA!  Below is a list of supplies as well as a “wish list” of optional items.  We are working with EduKit to supply class materials.  If you order from EduKit before</w:t>
      </w:r>
      <w:r w:rsidDel="00000000" w:rsidR="00000000" w:rsidRPr="00000000">
        <w:rPr>
          <w:rFonts w:ascii="Cambria" w:cs="Cambria" w:eastAsia="Cambria" w:hAnsi="Cambria"/>
          <w:rtl w:val="0"/>
        </w:rPr>
        <w:t xml:space="preserve"> June 5</w:t>
      </w:r>
      <w:r w:rsidDel="00000000" w:rsidR="00000000" w:rsidRPr="00000000">
        <w:rPr>
          <w:rFonts w:ascii="Cambria" w:cs="Cambria" w:eastAsia="Cambria" w:hAnsi="Cambria"/>
          <w:rtl w:val="0"/>
        </w:rPr>
        <w:t xml:space="preserve">, the items will be delivered to school and be ready for the first day.  If you are purchasing your materials another way, please try to have your supplies on the first day of school, but please know that we will help out in any way that we can.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450" w:right="-270" w:firstLine="0"/>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450" w:right="-270" w:firstLine="0"/>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Geography - Blue themed materials</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Avery 1” Flexi-View Binder Navy</w:t>
      </w: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Wide Ruled Filler Paper, 8” x 10.5”, 3-hole punched, 200 sheets - reinforced paper with the laminate around the holes</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Five Star Stay-Put Portfolio, Poly, 3-hole, Blue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right="-27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450" w:right="-270" w:firstLine="0"/>
        <w:contextualSpacing w:val="0"/>
        <w:rPr>
          <w:rFonts w:ascii="Cambria" w:cs="Cambria" w:eastAsia="Cambria" w:hAnsi="Cambria"/>
        </w:rPr>
      </w:pPr>
      <w:r w:rsidDel="00000000" w:rsidR="00000000" w:rsidRPr="00000000">
        <w:rPr>
          <w:rFonts w:ascii="Cambria" w:cs="Cambria" w:eastAsia="Cambria" w:hAnsi="Cambria"/>
          <w:u w:val="single"/>
          <w:rtl w:val="0"/>
        </w:rPr>
        <w:t xml:space="preserve">Science - Green themed materials</w:t>
      </w:r>
      <w:r w:rsidDel="00000000" w:rsidR="00000000" w:rsidRPr="00000000">
        <w:rPr>
          <w:rtl w:val="0"/>
        </w:rPr>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College ruled Composition book, 100 ct. Green</w:t>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Five Star stay-put portfolio, poly, 3-hole, green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right="-27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450" w:right="-270" w:firstLine="0"/>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Math - Red themed materials</w:t>
      </w:r>
    </w:p>
    <w:p w:rsidR="00000000" w:rsidDel="00000000" w:rsidP="00000000" w:rsidRDefault="00000000" w:rsidRPr="00000000" w14:paraId="00000010">
      <w:pPr>
        <w:numPr>
          <w:ilvl w:val="0"/>
          <w:numId w:val="4"/>
        </w:numP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Avery 1” Flexi-View Binder Red</w:t>
      </w:r>
      <w:r w:rsidDel="00000000" w:rsidR="00000000" w:rsidRPr="00000000">
        <w:rPr>
          <w:rtl w:val="0"/>
        </w:rPr>
      </w:r>
    </w:p>
    <w:p w:rsidR="00000000" w:rsidDel="00000000" w:rsidP="00000000" w:rsidRDefault="00000000" w:rsidRPr="00000000" w14:paraId="00000011">
      <w:pPr>
        <w:numPr>
          <w:ilvl w:val="0"/>
          <w:numId w:val="4"/>
        </w:numP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Pacon dual ruled composition book, (wide rule/quad rule), 9.75” x 7.5”, 100ct. Black</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Wide ruled spiral notebook, 70 ct., 3-hole punched, Red, Made in USA</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Wide ruled Filler Paper, 8” x 10.5”, 3-hole punched, 200 sheets, made in USA</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4 Expo low odor dry erase marker fine tip black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right="-27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450" w:right="-270" w:firstLine="0"/>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Language Arts - Black themed materials</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Two Pacon </w:t>
      </w:r>
      <w:r w:rsidDel="00000000" w:rsidR="00000000" w:rsidRPr="00000000">
        <w:rPr>
          <w:rFonts w:ascii="Cambria" w:cs="Cambria" w:eastAsia="Cambria" w:hAnsi="Cambria"/>
          <w:rtl w:val="0"/>
        </w:rPr>
        <w:t xml:space="preserve">college</w:t>
      </w:r>
      <w:r w:rsidDel="00000000" w:rsidR="00000000" w:rsidRPr="00000000">
        <w:rPr>
          <w:rFonts w:ascii="Cambria" w:cs="Cambria" w:eastAsia="Cambria" w:hAnsi="Cambria"/>
          <w:rtl w:val="0"/>
        </w:rPr>
        <w:t xml:space="preserve"> ruled composition book, 100 ct., black</w:t>
      </w:r>
      <w:r w:rsidDel="00000000" w:rsidR="00000000" w:rsidRPr="00000000">
        <w:rPr>
          <w:rFonts w:ascii="Cambria" w:cs="Cambria" w:eastAsia="Cambria" w:hAnsi="Cambria"/>
          <w:rtl w:val="0"/>
        </w:rPr>
        <w:t xml:space="preserve"> </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3 hole binder -black</w:t>
      </w:r>
    </w:p>
    <w:p w:rsidR="00000000" w:rsidDel="00000000" w:rsidP="00000000" w:rsidRDefault="00000000" w:rsidRPr="00000000" w14:paraId="00000019">
      <w:pPr>
        <w:numPr>
          <w:ilvl w:val="0"/>
          <w:numId w:val="3"/>
        </w:numP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2 packs of multi-color highlighters</w:t>
      </w:r>
    </w:p>
    <w:p w:rsidR="00000000" w:rsidDel="00000000" w:rsidP="00000000" w:rsidRDefault="00000000" w:rsidRPr="00000000" w14:paraId="0000001A">
      <w:pPr>
        <w:numPr>
          <w:ilvl w:val="0"/>
          <w:numId w:val="3"/>
        </w:numPr>
        <w:ind w:left="-450" w:right="-270" w:firstLine="0"/>
        <w:contextualSpacing w:val="1"/>
        <w:rPr>
          <w:rFonts w:ascii="Cambria" w:cs="Cambria" w:eastAsia="Cambria" w:hAnsi="Cambria"/>
          <w:u w:val="none"/>
        </w:rPr>
      </w:pPr>
      <w:r w:rsidDel="00000000" w:rsidR="00000000" w:rsidRPr="00000000">
        <w:rPr>
          <w:rFonts w:ascii="Cambria" w:cs="Cambria" w:eastAsia="Cambria" w:hAnsi="Cambria"/>
          <w:rtl w:val="0"/>
        </w:rPr>
        <w:t xml:space="preserve">Pencils </w:t>
      </w:r>
    </w:p>
    <w:p w:rsidR="00000000" w:rsidDel="00000000" w:rsidP="00000000" w:rsidRDefault="00000000" w:rsidRPr="00000000" w14:paraId="0000001B">
      <w:pPr>
        <w:ind w:right="-270"/>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450" w:right="-270" w:firstLine="0"/>
        <w:contextualSpacing w:val="0"/>
        <w:rPr>
          <w:rFonts w:ascii="Cambria" w:cs="Cambria" w:eastAsia="Cambria" w:hAnsi="Cambria"/>
        </w:rPr>
      </w:pPr>
      <w:r w:rsidDel="00000000" w:rsidR="00000000" w:rsidRPr="00000000">
        <w:rPr>
          <w:rFonts w:ascii="Cambria" w:cs="Cambria" w:eastAsia="Cambria" w:hAnsi="Cambria"/>
          <w:rtl w:val="0"/>
        </w:rPr>
        <w:t xml:space="preserve">Each student should carry to each class the following:</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Forest Choice #2 wood case pencil, latex-free eraser, pre-sharpened, 12 ct. </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Pentel hi-polymer eraser, ZEH-10 large, white </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3-ring nylon pencil pouch w/mesh window, 9.75” x 7.75”, assorted colors </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Daily planner</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450" w:right="-270" w:firstLine="0"/>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450" w:right="-270" w:firstLine="0"/>
        <w:contextualSpacing w:val="0"/>
        <w:rPr>
          <w:rFonts w:ascii="Cambria" w:cs="Cambria" w:eastAsia="Cambria" w:hAnsi="Cambria"/>
        </w:rPr>
      </w:pPr>
      <w:r w:rsidDel="00000000" w:rsidR="00000000" w:rsidRPr="00000000">
        <w:rPr>
          <w:rFonts w:ascii="Cambria" w:cs="Cambria" w:eastAsia="Cambria" w:hAnsi="Cambria"/>
          <w:rtl w:val="0"/>
        </w:rPr>
        <w:t xml:space="preserve">We encourage each student to donate to the 6</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grade community the following items:</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2 </w:t>
      </w:r>
      <w:r w:rsidDel="00000000" w:rsidR="00000000" w:rsidRPr="00000000">
        <w:rPr>
          <w:rFonts w:ascii="Cambria" w:cs="Cambria" w:eastAsia="Cambria" w:hAnsi="Cambria"/>
          <w:rtl w:val="0"/>
        </w:rPr>
        <w:t xml:space="preserve">boxes Kleenex facial tissues, 160 ct. </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Crayola markers, classic, broad tip, 8 ct. </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Scotch magic tape, ¾” x 300” with dispenser </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White copy paper ream, 8.5” x 11”, 20 lbs., 92 bright </w:t>
      </w:r>
    </w:p>
    <w:p w:rsidR="00000000" w:rsidDel="00000000" w:rsidP="00000000" w:rsidRDefault="00000000" w:rsidRPr="00000000" w14:paraId="00000027">
      <w:pPr>
        <w:numPr>
          <w:ilvl w:val="0"/>
          <w:numId w:val="1"/>
        </w:numP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Colored copy paper, 20 lbs., 8.5” x 11”, 500 ct. Green/Blue/Canary/Pink</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Forest choice #2 wood case pencils, latex-free eraser, pre-sharpened, 12 ct. </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Crayola colored pencils, full length, sharpened, 12 ct. </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6 Elmer’s small washable all purpose school glue stick, .21 oz. </w:t>
      </w:r>
    </w:p>
    <w:p w:rsidR="00000000" w:rsidDel="00000000" w:rsidP="00000000" w:rsidRDefault="00000000" w:rsidRPr="00000000" w14:paraId="0000002B">
      <w:pPr>
        <w:numPr>
          <w:ilvl w:val="0"/>
          <w:numId w:val="1"/>
        </w:numPr>
        <w:ind w:left="-450" w:right="-270" w:firstLine="0"/>
        <w:contextualSpacing w:val="1"/>
        <w:rPr>
          <w:rFonts w:ascii="Cambria" w:cs="Cambria" w:eastAsia="Cambria" w:hAnsi="Cambria"/>
        </w:rPr>
      </w:pPr>
      <w:r w:rsidDel="00000000" w:rsidR="00000000" w:rsidRPr="00000000">
        <w:rPr>
          <w:rFonts w:ascii="Cambria" w:cs="Cambria" w:eastAsia="Cambria" w:hAnsi="Cambria"/>
          <w:rtl w:val="0"/>
        </w:rPr>
        <w:t xml:space="preserve">Liquid paper correction fluid, 18 ml. </w:t>
      </w:r>
    </w:p>
    <w:p w:rsidR="00000000" w:rsidDel="00000000" w:rsidP="00000000" w:rsidRDefault="00000000" w:rsidRPr="00000000" w14:paraId="0000002C">
      <w:pPr>
        <w:ind w:right="-270"/>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450" w:right="-270" w:firstLine="0"/>
        <w:contextualSpacing w:val="0"/>
        <w:rPr>
          <w:rFonts w:ascii="Cambria" w:cs="Cambria" w:eastAsia="Cambria" w:hAnsi="Cambria"/>
        </w:rPr>
      </w:pPr>
      <w:r w:rsidDel="00000000" w:rsidR="00000000" w:rsidRPr="00000000">
        <w:rPr>
          <w:rFonts w:ascii="Cambria" w:cs="Cambria" w:eastAsia="Cambria" w:hAnsi="Cambria"/>
          <w:rtl w:val="0"/>
        </w:rPr>
        <w:t xml:space="preserve">Thanks very much!  We can’t wait to meet all of you and your families at DSA!</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450" w:right="-270" w:firstLine="0"/>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450" w:right="-27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John Abbott, Science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450" w:right="-27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George Fearns, Language Arts             </w:t>
        <w:tab/>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450" w:right="-27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Jonathan Lunceford, Social Studies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450" w:right="-27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Jin-Young Park, Mathematics</w:t>
      </w:r>
    </w:p>
    <w:p w:rsidR="00000000" w:rsidDel="00000000" w:rsidP="00000000" w:rsidRDefault="00000000" w:rsidRPr="00000000" w14:paraId="00000033">
      <w:pPr>
        <w:ind w:left="-450" w:right="-270" w:firstLine="0"/>
        <w:contextualSpacing w:val="0"/>
        <w:rPr>
          <w:rFonts w:ascii="Cambria" w:cs="Cambria" w:eastAsia="Cambria" w:hAnsi="Cambri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